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78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145"/>
        <w:gridCol w:w="475"/>
        <w:gridCol w:w="1133"/>
        <w:gridCol w:w="482"/>
        <w:gridCol w:w="4005"/>
      </w:tblGrid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6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Ходатайство об установлении публичного сервитута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9"/>
        </w:trPr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0" w:name="sub_2001"/>
            <w:r>
              <w:rPr>
                <w:rFonts w:ascii="Times New Roman" w:hAnsi="Times New Roman" w:cs="Times New Roman"/>
              </w:rPr>
              <w:t xml:space="preserve">1</w:t>
            </w:r>
            <w:bookmarkEnd w:id="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Министерство энергетики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8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органа, принимающего решение об установлении публичного сервитута)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" w:name="sub_2002"/>
            <w:r>
              <w:rPr>
                <w:rFonts w:ascii="Times New Roman" w:hAnsi="Times New Roman" w:cs="Times New Roman"/>
              </w:rPr>
              <w:t xml:space="preserve">2</w:t>
            </w:r>
            <w:bookmarkEnd w:id="1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представившем ходатайство об установлении публичного сервитута (далее - заявитель):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2" w:name="sub_2021"/>
            <w:r>
              <w:rPr>
                <w:rFonts w:ascii="Times New Roman" w:hAnsi="Times New Roman" w:cs="Times New Roman"/>
              </w:rPr>
              <w:t xml:space="preserve">2.1</w:t>
            </w:r>
            <w:bookmarkEnd w:id="2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акционерное общество «Газпром»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3" w:name="sub_2022"/>
            <w:r>
              <w:rPr>
                <w:rFonts w:ascii="Times New Roman" w:hAnsi="Times New Roman" w:cs="Times New Roman"/>
              </w:rPr>
              <w:t xml:space="preserve">2.2</w:t>
            </w:r>
            <w:bookmarkEnd w:id="3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ПАО «Газпром»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4" w:name="sub_2023"/>
            <w:r>
              <w:rPr>
                <w:rFonts w:ascii="Times New Roman" w:hAnsi="Times New Roman" w:cs="Times New Roman"/>
              </w:rPr>
              <w:t xml:space="preserve">2.3</w:t>
            </w:r>
            <w:bookmarkEnd w:id="4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Организационно-правовая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акционерное общество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5" w:name="sub_2024"/>
            <w:r>
              <w:rPr>
                <w:rFonts w:ascii="Times New Roman" w:hAnsi="Times New Roman" w:cs="Times New Roman"/>
              </w:rPr>
              <w:t xml:space="preserve">2.4</w:t>
            </w:r>
            <w:bookmarkEnd w:id="5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(индекс, субъект Российской Федерации, населенный пункт, улица, дом)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БОКС 1255, Санкт-Петербург, 200961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6" w:name="sub_2026"/>
            <w:r>
              <w:rPr>
                <w:rFonts w:ascii="Times New Roman" w:hAnsi="Times New Roman" w:cs="Times New Roman"/>
              </w:rPr>
              <w:t xml:space="preserve">2.</w:t>
            </w:r>
            <w:bookmarkEnd w:id="6"/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9" w:tooltip="mailto:gazprom@gazprom.ru" w:history="1">
              <w:r>
                <w:rPr>
                  <w:rStyle w:val="838"/>
                  <w:rFonts w:ascii="Times New Roman" w:hAnsi="Times New Roman"/>
                  <w:color w:val="000000"/>
                  <w:szCs w:val="24"/>
                </w:rPr>
                <w:t xml:space="preserve">gazprom@gazprom.ru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tgk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gazprom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7" w:name="sub_2027"/>
            <w:r>
              <w:rPr>
                <w:rFonts w:ascii="Times New Roman" w:hAnsi="Times New Roman" w:cs="Times New Roman"/>
              </w:rPr>
              <w:t xml:space="preserve">2.</w:t>
            </w:r>
            <w:bookmarkEnd w:id="7"/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1027700070518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8" w:name="sub_2028"/>
            <w:r>
              <w:rPr>
                <w:rFonts w:ascii="Times New Roman" w:hAnsi="Times New Roman" w:cs="Times New Roman"/>
              </w:rPr>
              <w:t xml:space="preserve">2.</w:t>
            </w:r>
            <w:bookmarkEnd w:id="8"/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7736050003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9" w:name="sub_2003"/>
            <w:r>
              <w:rPr>
                <w:rFonts w:ascii="Times New Roman" w:hAnsi="Times New Roman" w:cs="Times New Roman"/>
              </w:rPr>
              <w:t xml:space="preserve">3</w:t>
            </w:r>
            <w:bookmarkEnd w:id="9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представителе заявителя: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vMerge w:val="restart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0" w:name="sub_2031"/>
            <w:r>
              <w:rPr>
                <w:rFonts w:ascii="Times New Roman" w:hAnsi="Times New Roman" w:cs="Times New Roman"/>
              </w:rPr>
              <w:t xml:space="preserve">3.1</w:t>
            </w:r>
            <w:bookmarkEnd w:id="1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Харламов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vMerge w:val="continue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vMerge w:val="continue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1" w:name="sub_2032"/>
            <w:r>
              <w:rPr>
                <w:rFonts w:ascii="Times New Roman" w:hAnsi="Times New Roman" w:cs="Times New Roman"/>
              </w:rPr>
              <w:t xml:space="preserve">3.2</w:t>
            </w:r>
            <w:bookmarkEnd w:id="11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Solovyev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adm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gazprom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2" w:name="sub_2033"/>
            <w:r>
              <w:rPr>
                <w:rFonts w:ascii="Times New Roman" w:hAnsi="Times New Roman" w:cs="Times New Roman"/>
              </w:rPr>
              <w:t xml:space="preserve">3.3</w:t>
            </w:r>
            <w:bookmarkEnd w:id="12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(812) 609-76-77, (861)213-16-22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3" w:name="sub_2034"/>
            <w:r>
              <w:rPr>
                <w:rFonts w:ascii="Times New Roman" w:hAnsi="Times New Roman" w:cs="Times New Roman"/>
              </w:rPr>
              <w:t xml:space="preserve">3.4</w:t>
            </w:r>
            <w:bookmarkEnd w:id="13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3620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реквизиты документа, подтверждающего полномочия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56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Доверенность ПАО «Газпром» от 01.04.2024 № 01/04/04-208д (зарегистрировано в реестре № 78/98-н/78-2024-3-2063, 01.04.2024)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4" w:name="sub_2004"/>
            <w:r>
              <w:rPr>
                <w:rFonts w:ascii="Times New Roman" w:hAnsi="Times New Roman" w:cs="Times New Roman"/>
              </w:rPr>
              <w:t xml:space="preserve">4</w:t>
            </w:r>
            <w:bookmarkEnd w:id="14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установить публичный сервитут в отношении земель и земельных участков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целях эксплуатации линейного объекта системы газоснабжения федерального значения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Производственно-технологический комплекс «Газопровод-отвод и ГРС Шахты-3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его неотъемлемых технологических частей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ст. 3.6 Федерального закона от 25 октября 2001 г. № 137-ФЗ «О введении в действие Земельного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одекса Россий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5" w:name="sub_2005"/>
            <w:r>
              <w:rPr>
                <w:rFonts w:ascii="Times New Roman" w:hAnsi="Times New Roman" w:cs="Times New Roman"/>
              </w:rPr>
              <w:t xml:space="preserve">5</w:t>
            </w:r>
            <w:bookmarkEnd w:id="15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Испрашиваемый срок публичного сервитута: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49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6" w:name="sub_2006"/>
            <w:r>
              <w:rPr>
                <w:rFonts w:ascii="Times New Roman" w:hAnsi="Times New Roman" w:cs="Times New Roman"/>
              </w:rPr>
              <w:t xml:space="preserve">6</w:t>
            </w:r>
            <w:bookmarkEnd w:id="16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6"/>
              <w:jc w:val="both"/>
            </w:pPr>
            <w:r>
      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</w:t>
            </w:r>
            <w:r>
              <w:t xml:space="preserve">твии с подпунктом 4 пункта 1 статьи 39 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</w:t>
            </w:r>
            <w:r>
              <w:t xml:space="preserve">)</w:t>
            </w:r>
            <w:r/>
          </w:p>
          <w:p>
            <w:pPr>
              <w:pStyle w:val="674"/>
              <w:ind w:firstLine="0"/>
              <w:widowControl/>
            </w:pPr>
            <w:r>
              <w:t xml:space="preserve">______</w:t>
            </w:r>
            <w:r>
              <w:t xml:space="preserve">__</w:t>
            </w:r>
            <w:r>
              <w:rPr>
                <w:i/>
                <w:u w:val="single"/>
              </w:rPr>
              <w:t xml:space="preserve">-</w:t>
            </w:r>
            <w:r>
              <w:t xml:space="preserve">_______</w:t>
            </w:r>
            <w:r/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7" w:name="sub_2007"/>
            <w:r>
              <w:rPr>
                <w:rFonts w:ascii="Times New Roman" w:hAnsi="Times New Roman" w:cs="Times New Roman"/>
              </w:rPr>
              <w:t xml:space="preserve">7</w:t>
            </w:r>
            <w:bookmarkEnd w:id="17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необходимости установления публичного сервитута: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2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земельных участков в целях эксплуатации существующего сооружения федерального значения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Производственно-технологический комплекс «Газопровод-отвод и ГРС Шахты-3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его неотъемлемых технологических частей, кадастровый номер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1:00:0000000:737 (условный номер 61-61-01/129/2007-152), свидетельство о государственной регистрации права собственности от 09.11.2007 г. серия  61-АГ № 725347, запись о государственной регистрации права собственности от 09.11.2007 № 61-61-01/129/2007-152;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32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Электроснабжение дома оператора ГРС Шахты-3, кадастровый номер 61:59:0040426:304 (условный номер 61-61-49/139/2012-403), свидетельство о государственной регистрации от 14.01.2013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серия 61-АЗ № 192826, 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апись о государственной регистрации права собственности 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т 22.12.2012 № 61-61-49/139/2012-403;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32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Электроснабжение ГРС Шахты-3, кадастровый номер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61:59:0000000:20766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(условный номер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61-61-49/1139/2012-402),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свидетельство о государственной регистрации от 22.12.2012</w:t>
            </w:r>
            <w: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серия 61-АЗ № 161374, 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апись о государственной регистрации права собственности о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т 22.1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2.2012 № 61-61-49/1139/2012-402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32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Газопровод-отвод и ГРС Шахты-3, кадастровый номер 61:59:0000000:21090 (условный номер 61-61-49/135/2009-214), свидетельство о государственной регистрации от 04.12.2009 серия 61-АЕ № 310690, запись о государственной регистрации права собственности от 24.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11.2009 № 61-61-49/135/2009-214.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ind w:firstLine="328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РФ от 06.05.2015 № 816-р «Об утверждении схемы территориального планирования Российской Феде</w:t>
            </w:r>
            <w:bookmarkStart w:id="18" w:name="_GoBack"/>
            <w:r/>
            <w:bookmarkEnd w:id="1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рации в области федерального транспорта (в части трубопроводного транспорта)».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Согласно статье 5 Федерального закона от 31.03.1999 № 69-ФЗ «О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зоснабжении в Российской Федерации» (далее – Федеральный закон о газоснабжении) Единая система газоснабжения (далее – ЕСГ) входит в состав федеральной системы газоснабжения, которая является одной из федеральных энергетических систем Российской Федерации.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статьей 6 Федерального закона о газоснабжении «ЕСГ представляет собой имущественный, производственный комплекс, который состоит из технологически, организационно и экономически взаимосвязанных и централизованно управляемых производственны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и иных объектов, предназначенных для добычи, транспортировки, хранения и поставок газа…». ЕСГ обеспечивает непрерывный цикл поставки газа от скважины до конечного потребителя. При этом входящие в систему элементы самостоятельно функционировать не могут.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статьей 6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закона от 31.03.1999 № 69-ФЗ «О газоснабжении в Российской Федерации» (далее – Закон № 69-ФЗ) Единая система газоснабжения (ЕСГ) представляет собой имущественный производственный комплекс, который состоит из технологически, организационно и 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чески взаимосвязанных и централизованно управляемых производственных и иных объектов, предназначенных для добычи, транспортировки, хранения и поставок газа, и находится в собственности организации, образованной в установленных гражданским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организационно-правовой форме и порядке, получившей объекты указанного комплекса в собственность в процессе приватизации либо создавшей или приобретшей их на других основаниях, предусмотренных законодательством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ЕСГ является основной системой газоснабжения в Российской Федерац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и 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регулируется государством в порядке, установленном законодательством Российской Федерации.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Согласно положениям статьи 5 Закона № 69 – ФЗ, Федеральная система газоснабжения – совокупность действующих на территории Российской Феде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рации систем газоснабжения: Единой системы газоснабжения, региональных систем газоснабжения, газораспределительных систем и независимых организаций. Федеральная система газоснабжения является одной из федеральных энергетических систем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статьи 6 Перечня видов объектов федерального значения, подлежащих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отображению на схемах территориального планирования Российской Федерации,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транспорта, утвержденного распоряжением Правительства Российской Федерации от 08.02.2012 № 162 к объектам федерального значения отнесены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магистральные трубопроводы для транспортировки жидких и газообразных углеводородов; сети газораспределения, предназначенные для транспортировки природного газа под давлением свыше 1,2 Мпа и сжиженного углеводородного газа под давлением: выше 1,6 Мпа.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положениям пунктов 7 и 9 статьи 10 Градостроительного кодекса Российской Федерации к схемам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планирования Российской Федерации прилагаются материалы по их обоснованию в текстовой форме и в виде карт. Указанные карты составляются применительно к территории, в отношении которой разрабатывается схема территориального планирования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ссийской Федерации. В свою очередь, материалы по обоснованию схем территориального планирования Российской Федерации в виде карт отображают, в числе прочего, местоположение существующих и строящихся объектов федерального значения в соответствующей области.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Сог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ласно статье 14 Федерального закона о газоснабжении для обеспечения надежного газоснабжения, безопасного и устойчивого функционирования объектов ЕСГ, связанных общим технологическим режимом добычи, транспортировки и поставок газа, разделение Единой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газоснабжения не допускается. В состав ЕСГ входят магистральные газопроводы, компрессорные станции, объекты подземного хранения газа, газораспределительные станции и иные объекты. Данные объекты обеспечивают бесперебойное газоснабжение всей территории РФ.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2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изложенного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Производственно-технологический комплекс «Газопровод-отвод и ГРС Шахты-3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включая все здания и сооружения, обеспечивающие его эксплуатацию,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объектом федерального значения и нанесен на карту существующих объектов федерального значения в области федерального транспорта (в части трубопроводного транспорта) проекта материалов по обоснованию Схемы территориального планирования Российской Федерации.</w:t>
            </w:r>
            <w:r/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19" w:name="sub_2008"/>
            <w:r>
              <w:rPr>
                <w:rFonts w:ascii="Times New Roman" w:hAnsi="Times New Roman" w:cs="Times New Roman"/>
              </w:rPr>
              <w:t xml:space="preserve">8</w:t>
            </w:r>
            <w:bookmarkEnd w:id="19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6"/>
              <w:jc w:val="both"/>
            </w:pPr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нужд, а также о правообладателе инженерного сооружения, являющегося линейным объектом, реконс</w:t>
            </w:r>
            <w:r>
              <w:t xml:space="preserve">трукция, капитальный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случае, если заявитель не я</w:t>
            </w:r>
            <w:r>
              <w:t xml:space="preserve">вляется правообладателем указанного инженерного сооружения (в данном случае указываются сведения в объеме, предусмотренном строкой 2 настоящей формы) (заполняется в случае, если ходатайство об установлении публичного сервитута подается с целью установления</w:t>
            </w:r>
            <w:r>
              <w:t xml:space="preserve"> публичного сервитута в целях реконструкции инженерного сооружения, являющегося линейным объектом, реконструкции его участка (части), которое переносится в связи с изъятием такого земельного участка для государственных или муниципальных нужд, а также если </w:t>
            </w:r>
            <w:r>
              <w:t xml:space="preserve">ходатайство об установлении публичного сервитута подается с целью установления публичного сервитута в целях реконструкции, капитального ремонта инженерного сооружения, являющегося линейным объектом, реконструкции, капитального ремонта его участков (частей)</w:t>
            </w:r>
            <w:r/>
          </w:p>
          <w:p>
            <w:pPr>
              <w:pStyle w:val="866"/>
              <w:jc w:val="both"/>
            </w:pPr>
            <w:r>
              <w:t xml:space="preserve">____________</w:t>
            </w:r>
            <w:r>
              <w:rPr>
                <w:u w:val="single"/>
              </w:rPr>
              <w:t xml:space="preserve">отсутствует</w:t>
            </w:r>
            <w:r>
              <w:t xml:space="preserve">__________</w:t>
            </w:r>
            <w:r/>
          </w:p>
        </w:tc>
      </w:tr>
      <w:tr>
        <w:tblPrEx/>
        <w:trPr>
          <w:trHeight w:val="701"/>
        </w:trPr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</w:rPr>
            </w:pPr>
            <w:r/>
            <w:bookmarkStart w:id="20" w:name="sub_2009"/>
            <w:r>
              <w:rPr>
                <w:rFonts w:ascii="Times New Roman" w:hAnsi="Times New Roman" w:cs="Times New Roman"/>
              </w:rPr>
              <w:t xml:space="preserve">9</w:t>
            </w:r>
            <w:bookmarkEnd w:id="2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right w:val="none" w:color="000000" w:sz="4" w:space="0"/>
            </w:tcBorders>
            <w:tcW w:w="3145" w:type="dxa"/>
            <w:textDirection w:val="lrTb"/>
            <w:noWrap w:val="false"/>
          </w:tcPr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Кадастровые номера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ind w:right="10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земельных участков (при их наличии),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подано ходатайство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сервитута,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адреса или иное описание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0"/>
              <w:ind w:right="8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местоположения таких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Borders>
              <w:left w:val="none" w:color="000000" w:sz="4" w:space="0"/>
            </w:tcBorders>
            <w:tcW w:w="6095" w:type="dxa"/>
            <w:textDirection w:val="lrTb"/>
            <w:noWrap w:val="false"/>
          </w:tcPr>
          <w:tbl>
            <w:tblPr>
              <w:tblW w:w="1031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078"/>
              <w:gridCol w:w="236"/>
            </w:tblGrid>
            <w:tr>
              <w:tblPrEx/>
              <w:trPr/>
              <w:tc>
                <w:tcPr>
                  <w:tcW w:w="10540" w:type="dxa"/>
                  <w:textDirection w:val="lrTb"/>
                  <w:noWrap w:val="false"/>
                </w:tcPr>
                <w:p>
                  <w:r/>
                  <w:r/>
                </w:p>
                <w:tbl>
                  <w:tblPr>
                    <w:tblW w:w="6061" w:type="dxa"/>
                    <w:tblInd w:w="-167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68"/>
                    <w:gridCol w:w="3793"/>
                  </w:tblGrid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/>
                        <w:bookmarkStart w:id="0" w:name="undefined"/>
                        <w:r>
                          <w:rPr>
                            <w:color w:val="000000" w:themeColor="text1"/>
                          </w:rPr>
                          <w:t xml:space="preserve">61:28:0000000:14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Октябрьский, х. Красный Луч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/>
                        <w:bookmarkStart w:id="0" w:name="undefined"/>
                        <w:r/>
                        <w:bookmarkEnd w:id="0"/>
                        <w:r>
                          <w:rPr>
                            <w:color w:val="000000" w:themeColor="text1"/>
                          </w:rPr>
                          <w:t xml:space="preserve">61:28:0000000:35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ind w:left="0" w:right="34" w:firstLine="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обл, р-н Октябрьский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61:28:0000000:40 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обл, р-н Октябрьский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61:28:0000000:41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расположенный относительно ориентира Ростовская 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обл., Октябрьский р-н, земельный участок газопровода-отвода к газораспределительной станции Шахты-3 с 1,1 по 1,8 км и c 4,5 по 4,7 км, подключенного к газопроводу-отводу к газораспределительной станции Волгодонск на 63 км, расположенного в границах участка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61:28:0000000:56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Октябрьский, х. 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Ягодинка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, ул. Степная, 35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61:28:0000000:97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обл, р-н Октябрьский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61:28:0000000:143 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Октябрьский, вблизи х. Маркин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61:28:0000000:21284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вблизи х. Маркин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61:28:0000000:23167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область, р-н Октябрьский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61:28:0000000:23473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Октябрьский р-н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61:28:0504701:1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в 500 м западнее </w:t>
                        </w:r>
                        <w:r>
                          <w:rPr>
                            <w:color w:val="000000" w:themeColor="text1"/>
                          </w:rPr>
                          <w:t xml:space="preserve">х.Ягодинка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61:28:0600008:7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вблизи х. Маркин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61:28:0600008:220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</w:t>
                        </w:r>
                        <w:r>
                          <w:rPr>
                            <w:color w:val="000000" w:themeColor="text1"/>
                          </w:rPr>
                          <w:t xml:space="preserve">Отп</w:t>
                        </w:r>
                        <w:r>
                          <w:rPr>
                            <w:color w:val="000000" w:themeColor="text1"/>
                          </w:rPr>
                          <w:t xml:space="preserve">. на </w:t>
                        </w:r>
                        <w:r>
                          <w:rPr>
                            <w:color w:val="000000" w:themeColor="text1"/>
                          </w:rPr>
                          <w:t xml:space="preserve">Ш8</w:t>
                        </w:r>
                        <w:r>
                          <w:rPr>
                            <w:color w:val="000000" w:themeColor="text1"/>
                          </w:rPr>
                          <w:t xml:space="preserve"> от ВЛ 110 кВ </w:t>
                        </w:r>
                        <w:r>
                          <w:rPr>
                            <w:color w:val="000000" w:themeColor="text1"/>
                          </w:rPr>
                          <w:t xml:space="preserve">Ш30-Ш45-Ш50</w:t>
                        </w:r>
                        <w:r>
                          <w:rPr>
                            <w:color w:val="000000" w:themeColor="text1"/>
                          </w:rPr>
                          <w:t xml:space="preserve"> I и II цепи.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61:28:0600008:270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х. Маркин, ул. Ивана Образцова, 1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61:28:0600008:322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вблизи х. Маркин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61:28:0600008:355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</w:t>
                        </w:r>
                        <w:r>
                          <w:rPr>
                            <w:color w:val="000000" w:themeColor="text1"/>
                          </w:rPr>
                          <w:t xml:space="preserve">Мокрологское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поселение, вблизи х. Костиков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61:28:0600009:262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обл, р-н Октябрьский, из земель </w:t>
                        </w:r>
                        <w:r>
                          <w:rPr>
                            <w:color w:val="000000" w:themeColor="text1"/>
                          </w:rPr>
                          <w:t xml:space="preserve">КСП  имени</w:t>
                        </w:r>
                        <w:r>
                          <w:rPr>
                            <w:color w:val="000000" w:themeColor="text1"/>
                          </w:rPr>
                          <w:t xml:space="preserve">  </w:t>
                        </w:r>
                        <w:r>
                          <w:rPr>
                            <w:color w:val="000000" w:themeColor="text1"/>
                          </w:rPr>
                          <w:t xml:space="preserve">Кирова</w:t>
                        </w:r>
                        <w:r>
                          <w:rPr>
                            <w:color w:val="000000" w:themeColor="text1"/>
                          </w:rPr>
                          <w:t xml:space="preserve"> расположенный вблизи х. Красный Луч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61:28:0600009:842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вдоль автодороги "Шахты-</w:t>
                        </w:r>
                        <w:r>
                          <w:rPr>
                            <w:color w:val="000000" w:themeColor="text1"/>
                          </w:rPr>
                          <w:t xml:space="preserve">Мелиховская</w:t>
                        </w:r>
                        <w:r>
                          <w:rPr>
                            <w:color w:val="000000" w:themeColor="text1"/>
                          </w:rPr>
                          <w:t xml:space="preserve">" в районе шахты им. Чиха.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61:28:0600009:885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61:28:0600009:886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61:28:0600009:888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61:28:0600009:891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61:28:0600009:892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61:28:0600009:894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61:28:0600009:896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61:28:0600009:899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61:28:0600009:901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61:28:0600009:903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61:28:0600009:905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61:28:0600009:906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highlight w:val="none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Ориентир: на территории бывшего КСП им. Кирова. Почтовый адрес ориентира: Ростовская обл, р-н Октябрьский.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highlight w:val="none"/>
                          </w:rPr>
                        </w:r>
                        <w:r>
                          <w:rPr>
                            <w:color w:val="000000" w:themeColor="text1"/>
                            <w:highlight w:val="none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61:28:0600009:947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Почтовый адрес ориентира: Ростовская обл, р-н </w:t>
                        </w:r>
                        <w:r>
                          <w:rPr>
                            <w:color w:val="000000" w:themeColor="text1"/>
                          </w:rPr>
                          <w:t xml:space="preserve">Октябрьский, 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61:28:0600009:985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Почтовый адрес ориентира: Ростовская обл, р-н Октябрьский,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поселение, вблизи х. </w:t>
                        </w:r>
                        <w:r>
                          <w:rPr>
                            <w:color w:val="000000" w:themeColor="text1"/>
                          </w:rPr>
                          <w:t xml:space="preserve">Ягодинка</w:t>
                        </w:r>
                        <w:r>
                          <w:rPr>
                            <w:color w:val="000000" w:themeColor="text1"/>
                          </w:rPr>
                          <w:t xml:space="preserve">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61:28:0600009:1068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 в границах бывшего колхоза им. 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61:28:0600009:1077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 в границах бывшего колхоза им. 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61:28:0600009:1095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 в границах бывшего колхоза им. 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61:28:0600009:1124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станция </w:t>
                        </w:r>
                        <w:r>
                          <w:rPr>
                            <w:color w:val="000000" w:themeColor="text1"/>
                          </w:rPr>
                          <w:t xml:space="preserve">Скиповая+1,920</w:t>
                        </w:r>
                        <w:r>
                          <w:rPr>
                            <w:color w:val="000000" w:themeColor="text1"/>
                          </w:rPr>
                          <w:t xml:space="preserve"> км на северо-запад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61:28:0600009:1179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обл., р-н Октябрьский, станция Скиповая +2,516 км. на юг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61:28:0600009:1236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вблизи х. Маркин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61:28:0600009:1241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61:28:0600009:1512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в границах бывшего СПК </w:t>
                        </w:r>
                        <w:r>
                          <w:rPr>
                            <w:color w:val="000000" w:themeColor="text1"/>
                          </w:rPr>
                          <w:t xml:space="preserve">им.Кирова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61:28:0600009:1513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сельское поселение, в границах бывшего СПК </w:t>
                        </w:r>
                        <w:r>
                          <w:rPr>
                            <w:color w:val="000000" w:themeColor="text1"/>
                          </w:rPr>
                          <w:t xml:space="preserve">им.Кирова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61:28:0600009:1536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территория бывшего КСП им. 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61:28:0600009:1607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Россия, Ростовская область, Октябрьский район, территория бывшего КСП им. Кирова </w:t>
                        </w:r>
                        <w:r>
                          <w:rPr>
                            <w:color w:val="000000" w:themeColor="text1"/>
                          </w:rPr>
                          <w:t xml:space="preserve">Краснолучской</w:t>
                        </w:r>
                        <w:r>
                          <w:rPr>
                            <w:color w:val="000000" w:themeColor="text1"/>
                          </w:rPr>
                          <w:t xml:space="preserve"> сельской администрации, вблизи х. Красный Луч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61:28:0600009:1732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р-н Октябрьский, 500 м. от </w:t>
                        </w:r>
                        <w:r>
                          <w:rPr>
                            <w:color w:val="000000" w:themeColor="text1"/>
                          </w:rPr>
                          <w:t xml:space="preserve">ул.Заречной</w:t>
                        </w:r>
                        <w:r>
                          <w:rPr>
                            <w:color w:val="000000" w:themeColor="text1"/>
                          </w:rPr>
                          <w:t xml:space="preserve"> в </w:t>
                        </w:r>
                        <w:r>
                          <w:rPr>
                            <w:color w:val="000000" w:themeColor="text1"/>
                          </w:rPr>
                          <w:t xml:space="preserve">х.Красный</w:t>
                        </w:r>
                        <w:r>
                          <w:rPr>
                            <w:color w:val="000000" w:themeColor="text1"/>
                          </w:rPr>
                          <w:t xml:space="preserve"> Луч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61:28:0600009:1748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область, р-н Октябрьский, с/п 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Краснолучское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, х. 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Ягодинка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61:28:0600009:1761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р-н Октябрьский, в границах бывшего СПК </w:t>
                        </w:r>
                        <w:r>
                          <w:rPr>
                            <w:color w:val="000000" w:themeColor="text1"/>
                          </w:rPr>
                          <w:t xml:space="preserve">им.Кирова</w:t>
                        </w:r>
                        <w:r>
                          <w:rPr>
                            <w:color w:val="000000" w:themeColor="text1"/>
                          </w:rPr>
                          <w:t xml:space="preserve">, расположенного в границах участка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61:28:0600009:1847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р-н Октябрьский, на территории КСП им. Кирова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61:28:0600020:203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Октябрьский район, </w:t>
                        </w:r>
                        <w:r>
                          <w:rPr>
                            <w:color w:val="000000" w:themeColor="text1"/>
                          </w:rPr>
                          <w:t xml:space="preserve">Коммунарская  администрация</w:t>
                        </w:r>
                        <w:r>
                          <w:rPr>
                            <w:color w:val="000000" w:themeColor="text1"/>
                          </w:rPr>
                          <w:t xml:space="preserve"> на землях бывшего ГПЗ "Горняк"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61:59:0000000:21724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Ростовская область, г. Шахты, от ГРП №13, по пер. Капустина, по ул. Миргородская, до </w:t>
                        </w:r>
                        <w:r>
                          <w:rPr>
                            <w:color w:val="000000" w:themeColor="text1"/>
                          </w:rPr>
                          <w:t xml:space="preserve">пр-кта</w:t>
                        </w:r>
                        <w:r>
                          <w:rPr>
                            <w:color w:val="000000" w:themeColor="text1"/>
                          </w:rPr>
                          <w:t xml:space="preserve"> Ленинского Комсомола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61:59:0000000:22533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область, г Шахты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61:59:0040426:45 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</w:t>
                        </w:r>
                        <w:r>
                          <w:rPr>
                            <w:color w:val="000000" w:themeColor="text1"/>
                          </w:rPr>
                          <w:t xml:space="preserve">тоположение установлено относительно ориентира, расположенного в границах участка. Почтовый адрес ориентира: Ростовская обл, г Шахты, земельный участок газопровода-отвода и ГРС Шахты-3 на участке с 14,0 по 14,1 км, подключенного к газопроводу-отводу к ГРС </w:t>
                        </w:r>
                        <w:r>
                          <w:rPr>
                            <w:color w:val="000000" w:themeColor="text1"/>
                          </w:rPr>
                          <w:t xml:space="preserve">Волгодонск  на</w:t>
                        </w:r>
                        <w:r>
                          <w:rPr>
                            <w:color w:val="000000" w:themeColor="text1"/>
                          </w:rPr>
                          <w:t xml:space="preserve"> 63 км.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61:59:0040426:46</w:t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  <w:r>
                          <w:rPr>
                            <w:color w:val="000000" w:themeColor="text1"/>
                            <w:lang w:val="en-US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Местоположение установлено относительно ориентира, расположенного в границах участка. Почтовый адрес ориентира: Ростовская обл, г Шахты, западная окраина </w:t>
                        </w:r>
                        <w:r>
                          <w:rPr>
                            <w:color w:val="000000" w:themeColor="text1"/>
                          </w:rPr>
                          <w:t xml:space="preserve">п.Сидорово-Кадамовский</w:t>
                        </w:r>
                        <w:r>
                          <w:rPr>
                            <w:color w:val="000000" w:themeColor="text1"/>
                          </w:rPr>
                          <w:t xml:space="preserve">.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61:59:0040426:342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область, г. Шахты, ул. Колесникова</w:t>
                        </w:r>
                        <w:r>
                          <w:rPr>
                            <w:color w:val="000000" w:themeColor="text1"/>
                          </w:rPr>
                        </w:r>
                        <w:r>
                          <w:rPr>
                            <w:color w:val="000000" w:themeColor="text1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61:59:0040427:58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обл, г Шахты, 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п.Сидоровка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, 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ул.Зеленая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, 17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61:28:0504701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61:28:0600008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61:28:0600009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b/>
                            <w:bCs/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b/>
                            <w:bCs/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61:28:0600020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р-н Октябрьский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61:59:0030332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г. Шахты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  <w:tr>
                    <w:tblPrEx/>
                    <w:trPr/>
                    <w:tc>
                      <w:tcPr>
                        <w:tcW w:w="2268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61:59:0040426</w:t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  <w:tc>
                      <w:tcPr>
                        <w:tcW w:w="3793" w:type="dxa"/>
                        <w:vAlign w:val="center"/>
                        <w:textDirection w:val="lrTb"/>
                        <w:noWrap w:val="false"/>
                      </w:tcPr>
                      <w:p>
                        <w:pPr>
                          <w:pStyle w:val="865"/>
                          <w:rPr>
                            <w:color w:val="000000" w:themeColor="text1"/>
                            <w:shd w:val="clear" w:color="auto" w:fill="f8f9fa"/>
                          </w:rPr>
                        </w:pP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  <w:t xml:space="preserve">Ростовская обл., г. Шахты</w:t>
                        </w:r>
                        <w:bookmarkEnd w:id="0"/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  <w:r>
                          <w:rPr>
                            <w:color w:val="000000" w:themeColor="text1"/>
                            <w:shd w:val="clear" w:color="auto" w:fill="f8f9fa"/>
                          </w:rPr>
                        </w:r>
                      </w:p>
                    </w:tc>
                  </w:tr>
                </w:tbl>
                <w:p>
                  <w:pPr>
                    <w:ind w:firstLine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r>
                </w:p>
              </w:tc>
              <w:tc>
                <w:tcPr>
                  <w:tcW w:w="222" w:type="dxa"/>
                  <w:vAlign w:val="center"/>
                  <w:textDirection w:val="lrTb"/>
                  <w:noWrap w:val="false"/>
                </w:tcPr>
                <w:p>
                  <w:pPr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6"/>
              <w:jc w:val="both"/>
            </w:pPr>
            <w:r>
              <w:t xml:space="preserve">Право, на котором инженерное сооружение принадлежит заявителю (если п</w:t>
            </w:r>
            <w:r>
              <w:t xml:space="preserve">одано ходатайство об установлении публичного сервитута для реконструкции, капитального ремонта или эксплуатации указанного инженерного сооружения, реконструкции или капитального ремонта участка (части) инженерного сооружения, являющегося линейным объектом)</w:t>
            </w:r>
            <w:r>
              <w:t xml:space="preserve"> </w:t>
            </w:r>
            <w:r>
              <w:t xml:space="preserve">(предоставление правоустанавливающих документов на линейный объект не требуется в случае, если ходатайство об установлении публичного сервитута подано в соответствии со статьей 3.9 Федерального закона от 25 октября 2001 г. </w:t>
            </w:r>
            <w:r>
              <w:t xml:space="preserve">№</w:t>
            </w:r>
            <w:r>
              <w:t xml:space="preserve"> 137-ФЗ </w:t>
            </w:r>
            <w:r>
              <w:t xml:space="preserve">«</w:t>
            </w:r>
            <w:r>
              <w:t xml:space="preserve">О введении в действие Земельного кодекса Российской Федерации</w:t>
            </w:r>
            <w:r>
              <w:t xml:space="preserve">»</w:t>
            </w:r>
            <w:r>
              <w:t xml:space="preserve">)</w:t>
            </w:r>
            <w:r>
              <w:t xml:space="preserve">: с</w:t>
            </w:r>
            <w:r>
              <w:t xml:space="preserve">обственность</w:t>
            </w:r>
            <w:r/>
          </w:p>
        </w:tc>
      </w:tr>
      <w:tr>
        <w:tblPrEx/>
        <w:trPr/>
        <w:tc>
          <w:tcPr>
            <w:tcW w:w="541" w:type="dxa"/>
            <w:vMerge w:val="restart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способах представления результатов рассмотрения ходатайства: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vMerge w:val="continue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4753" w:type="dxa"/>
            <w:textDirection w:val="lrTb"/>
            <w:noWrap w:val="false"/>
          </w:tcPr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электронного документа, который направляется уполномоченным органом заявителю посредством электронной почты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4487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vMerge w:val="continue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4753" w:type="dxa"/>
            <w:textDirection w:val="lrTb"/>
            <w:noWrap w:val="false"/>
          </w:tcPr>
          <w:p>
            <w:pPr>
              <w:pStyle w:val="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4487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(да/нет)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прилагаемые к ходатайству: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Доверенность ПАО «Газпром» от 01.04.2024 № 01/04/04-208д (зарегистрировано в реестре № 78/98-н/78-2024-3-2063, 01.04.2024) (1 экз., копия, 4 листа).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Описание границ публичного сервитута в формате PDF (1 экз., 21 лист).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Схема расположения границ публичного сервитута в формате PDF в полноцветном режиме с разрешением не менее 300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dpi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масштабе, обеспечивающем читаемость местоположения характерных точек (1 экз., 12 листов).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Описание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 публичного сервитута, содержащего координаты характерных точек границ публичного сервитута, в виде файла в формате XML, созданного с использованием XML-схем, обеспечивающих считывание и контроль представленных данных  (1 экз., электронный документ).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Свидетельство о государственной регистрации права собственности от 09.11.2007 серия 61 АГ № 725347 (1 экз., 1 лист).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Свидетельство о государственной регистрации права собственности от 14.01.2013  серия 61-АЗ № 192826 (1 экз., 1 лист).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Свидетельство о государственной регистрации права собственности от 22.12.2012 серия 61-АЗ № 161374 (1 экз., 1 лист).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Свидетельство о государственной регистрации права собственности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серия 61-А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310690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 экз., 1 лист).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ind w:firstLine="0"/>
              <w:widowControl/>
              <w:tabs>
                <w:tab w:val="left" w:pos="474" w:leader="none"/>
              </w:tabs>
              <w:rPr>
                <w:rFonts w:ascii="Times New Roman" w:hAnsi="Times New Roman" w:cs="Times New Roman"/>
                <w:color w:val="ff0000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Перечень земельных участков, в отношении которых устанавливается публичный сервитут (1 экз., 2 листа).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2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 согласие на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ботку персональных данных (сбор, систематизацию, накопление, хранение, уточнение (обновление, изменение), использование, распр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остранение (в том числе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едачу),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обезличивание, блокирование, уничтожение персональных данных, а также иных действий, необходимы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для обработки персональных данных в соответствии с законодательством Российской Федерации), в том числе в автоматизированном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9240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ия, указанные в настоящем ходатайстве, на дату представления ходатайства достоверны; документы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(копии документов) и содержащиеся в них сведения соответствуют требованиям, установленным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HYPERLINK "http://garant/document?i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d=12024624&amp;sub=39410"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858"/>
                <w:rFonts w:ascii="Times New Roman" w:hAnsi="Times New Roman"/>
                <w:color w:val="000000"/>
                <w:sz w:val="24"/>
                <w:szCs w:val="24"/>
              </w:rPr>
              <w:t xml:space="preserve">ст</w:t>
            </w:r>
            <w:r>
              <w:rPr>
                <w:rStyle w:val="858"/>
                <w:rFonts w:ascii="Times New Roman" w:hAnsi="Times New Roman"/>
                <w:color w:val="000000"/>
                <w:sz w:val="24"/>
                <w:szCs w:val="24"/>
              </w:rPr>
              <w:t xml:space="preserve">ат</w:t>
            </w:r>
            <w:r>
              <w:rPr>
                <w:rStyle w:val="858"/>
                <w:rFonts w:ascii="Times New Roman" w:hAnsi="Times New Roman"/>
                <w:color w:val="000000"/>
                <w:sz w:val="24"/>
                <w:szCs w:val="24"/>
              </w:rPr>
              <w:t xml:space="preserve">ьей 39.4</w:t>
            </w:r>
            <w:r>
              <w:rPr>
                <w:rStyle w:val="858"/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41" w:type="dxa"/>
            <w:vMerge w:val="restart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Borders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Подпись: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auto" w:sz="4" w:space="0"/>
            </w:tcBorders>
            <w:tcW w:w="40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W w:w="541" w:type="dxa"/>
            <w:vMerge w:val="continue"/>
            <w:textDirection w:val="lrTb"/>
            <w:noWrap w:val="false"/>
          </w:tcPr>
          <w:p>
            <w:pPr>
              <w:pStyle w:val="8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Borders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firstLine="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А.С.Харламов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4"/>
                <w:u w:val="single"/>
              </w:rPr>
            </w:r>
            <w:r>
              <w:rPr>
                <w:rFonts w:ascii="Times New Roman" w:hAnsi="Times New Roman"/>
                <w:sz w:val="24"/>
                <w:u w:val="single"/>
              </w:rPr>
            </w:r>
          </w:p>
          <w:p>
            <w:pPr>
              <w:ind w:firstLine="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(подпись)                   (инициалы, фамилия)</w:t>
            </w:r>
            <w:r>
              <w:rPr>
                <w:rFonts w:ascii="Times New Roman" w:hAnsi="Times New Roman"/>
                <w:sz w:val="24"/>
                <w:u w:val="single"/>
              </w:rPr>
            </w:r>
            <w:r>
              <w:rPr>
                <w:rFonts w:ascii="Times New Roman" w:hAnsi="Times New Roman"/>
                <w:sz w:val="24"/>
                <w:u w:val="single"/>
              </w:rPr>
            </w:r>
          </w:p>
        </w:tc>
        <w:tc>
          <w:tcPr>
            <w:tcBorders>
              <w:left w:val="single" w:color="auto" w:sz="4" w:space="0"/>
            </w:tcBorders>
            <w:tcW w:w="400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«__»__________2026 г.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/>
      <w:r/>
    </w:p>
    <w:sectPr>
      <w:footnotePr/>
      <w:endnotePr/>
      <w:type w:val="nextPage"/>
      <w:pgSz w:w="11900" w:h="16800" w:orient="portrait"/>
      <w:pgMar w:top="851" w:right="800" w:bottom="709" w:left="8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792" w:hanging="432"/>
      </w:pPr>
      <w:rPr>
        <w:rFonts w:ascii="Times New Roman" w:hAnsi="Times New Roman" w:eastAsia="Times New Roman" w:cs="Times New Roman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2 Char"/>
    <w:basedOn w:val="684"/>
    <w:link w:val="676"/>
    <w:uiPriority w:val="9"/>
    <w:rPr>
      <w:rFonts w:ascii="Arial" w:hAnsi="Arial" w:eastAsia="Arial" w:cs="Arial"/>
      <w:sz w:val="34"/>
    </w:rPr>
  </w:style>
  <w:style w:type="character" w:styleId="659">
    <w:name w:val="Heading 3 Char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60">
    <w:name w:val="Heading 4 Char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61">
    <w:name w:val="Heading 5 Char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62">
    <w:name w:val="Heading 6 Char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63">
    <w:name w:val="Heading 7 Char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4">
    <w:name w:val="Heading 8 Char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65">
    <w:name w:val="Heading 9 Char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66">
    <w:name w:val="Title Char"/>
    <w:basedOn w:val="684"/>
    <w:link w:val="698"/>
    <w:uiPriority w:val="10"/>
    <w:rPr>
      <w:sz w:val="48"/>
      <w:szCs w:val="48"/>
    </w:rPr>
  </w:style>
  <w:style w:type="character" w:styleId="667">
    <w:name w:val="Subtitle Char"/>
    <w:basedOn w:val="684"/>
    <w:link w:val="700"/>
    <w:uiPriority w:val="11"/>
    <w:rPr>
      <w:sz w:val="24"/>
      <w:szCs w:val="24"/>
    </w:rPr>
  </w:style>
  <w:style w:type="character" w:styleId="668">
    <w:name w:val="Quote Char"/>
    <w:link w:val="702"/>
    <w:uiPriority w:val="29"/>
    <w:rPr>
      <w:i/>
    </w:rPr>
  </w:style>
  <w:style w:type="character" w:styleId="669">
    <w:name w:val="Intense Quote Char"/>
    <w:link w:val="704"/>
    <w:uiPriority w:val="30"/>
    <w:rPr>
      <w:i/>
    </w:rPr>
  </w:style>
  <w:style w:type="character" w:styleId="670">
    <w:name w:val="Header Char"/>
    <w:basedOn w:val="684"/>
    <w:link w:val="706"/>
    <w:uiPriority w:val="99"/>
  </w:style>
  <w:style w:type="character" w:styleId="671">
    <w:name w:val="Caption Char"/>
    <w:basedOn w:val="710"/>
    <w:link w:val="708"/>
    <w:uiPriority w:val="99"/>
  </w:style>
  <w:style w:type="character" w:styleId="672">
    <w:name w:val="Footnote Text Char"/>
    <w:link w:val="839"/>
    <w:uiPriority w:val="99"/>
    <w:rPr>
      <w:sz w:val="18"/>
    </w:rPr>
  </w:style>
  <w:style w:type="character" w:styleId="673">
    <w:name w:val="Endnote Text Char"/>
    <w:link w:val="842"/>
    <w:uiPriority w:val="99"/>
    <w:rPr>
      <w:sz w:val="20"/>
    </w:rPr>
  </w:style>
  <w:style w:type="paragraph" w:styleId="674" w:default="1">
    <w:name w:val="Normal"/>
    <w:qFormat/>
    <w:pPr>
      <w:ind w:firstLine="720"/>
      <w:jc w:val="both"/>
      <w:widowControl w:val="off"/>
    </w:pPr>
    <w:rPr>
      <w:rFonts w:ascii="Arial" w:hAnsi="Arial" w:cs="Arial"/>
      <w:sz w:val="26"/>
      <w:szCs w:val="26"/>
      <w:lang w:eastAsia="ru-RU"/>
    </w:rPr>
  </w:style>
  <w:style w:type="paragraph" w:styleId="675">
    <w:name w:val="Heading 1"/>
    <w:basedOn w:val="674"/>
    <w:next w:val="674"/>
    <w:link w:val="856"/>
    <w:uiPriority w:val="99"/>
    <w:qFormat/>
    <w:pPr>
      <w:ind w:firstLine="0"/>
      <w:jc w:val="center"/>
      <w:spacing w:before="108" w:after="108"/>
      <w:outlineLvl w:val="0"/>
    </w:pPr>
    <w:rPr>
      <w:b/>
      <w:bCs/>
      <w:color w:val="26282f"/>
    </w:rPr>
  </w:style>
  <w:style w:type="paragraph" w:styleId="676">
    <w:name w:val="Heading 2"/>
    <w:basedOn w:val="674"/>
    <w:next w:val="674"/>
    <w:link w:val="688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677">
    <w:name w:val="Heading 3"/>
    <w:basedOn w:val="674"/>
    <w:next w:val="674"/>
    <w:link w:val="689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678">
    <w:name w:val="Heading 4"/>
    <w:basedOn w:val="674"/>
    <w:next w:val="674"/>
    <w:link w:val="690"/>
    <w:uiPriority w:val="9"/>
    <w:unhideWhenUsed/>
    <w:qFormat/>
    <w:pPr>
      <w:keepLines/>
      <w:keepNext/>
      <w:spacing w:before="320" w:after="200"/>
      <w:outlineLvl w:val="3"/>
    </w:pPr>
    <w:rPr>
      <w:rFonts w:eastAsia="Arial"/>
      <w:b/>
      <w:bCs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link w:val="676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link w:val="677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674"/>
    <w:uiPriority w:val="34"/>
    <w:qFormat/>
    <w:pPr>
      <w:contextualSpacing/>
      <w:ind w:left="720" w:firstLine="0"/>
      <w:jc w:val="left"/>
      <w:spacing w:after="200" w:line="276" w:lineRule="auto"/>
      <w:widowControl/>
    </w:pPr>
    <w:rPr>
      <w:rFonts w:ascii="Calibri" w:hAnsi="Calibri" w:cs="Times New Roman"/>
      <w:sz w:val="22"/>
      <w:szCs w:val="22"/>
    </w:rPr>
  </w:style>
  <w:style w:type="paragraph" w:styleId="697">
    <w:name w:val="No Spacing"/>
    <w:uiPriority w:val="1"/>
    <w:qFormat/>
  </w:style>
  <w:style w:type="paragraph" w:styleId="698">
    <w:name w:val="Title"/>
    <w:basedOn w:val="674"/>
    <w:next w:val="674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 w:customStyle="1">
    <w:name w:val="Название Знак"/>
    <w:link w:val="698"/>
    <w:uiPriority w:val="10"/>
    <w:rPr>
      <w:sz w:val="48"/>
      <w:szCs w:val="48"/>
    </w:rPr>
  </w:style>
  <w:style w:type="paragraph" w:styleId="700">
    <w:name w:val="Subtitle"/>
    <w:basedOn w:val="674"/>
    <w:next w:val="674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 w:customStyle="1">
    <w:name w:val="Подзаголовок Знак"/>
    <w:link w:val="700"/>
    <w:uiPriority w:val="11"/>
    <w:rPr>
      <w:sz w:val="24"/>
      <w:szCs w:val="24"/>
    </w:rPr>
  </w:style>
  <w:style w:type="paragraph" w:styleId="702">
    <w:name w:val="Quote"/>
    <w:basedOn w:val="674"/>
    <w:next w:val="674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74"/>
    <w:next w:val="674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74"/>
    <w:link w:val="70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link w:val="706"/>
    <w:uiPriority w:val="99"/>
  </w:style>
  <w:style w:type="paragraph" w:styleId="708">
    <w:name w:val="Footer"/>
    <w:basedOn w:val="674"/>
    <w:link w:val="71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uiPriority w:val="99"/>
  </w:style>
  <w:style w:type="paragraph" w:styleId="710">
    <w:name w:val="Caption"/>
    <w:basedOn w:val="674"/>
    <w:next w:val="674"/>
    <w:link w:val="67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>
    <w:name w:val="Table Grid"/>
    <w:basedOn w:val="685"/>
    <w:rPr>
      <w:rFonts w:ascii="Times New Roman" w:hAnsi="Times New Roman"/>
    </w:rPr>
    <w:tblPr/>
  </w:style>
  <w:style w:type="table" w:styleId="713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4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7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6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8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9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2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0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9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0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1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2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3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4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6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7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8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3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4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5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6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8">
    <w:name w:val="Hyperlink"/>
    <w:uiPriority w:val="99"/>
    <w:semiHidden/>
    <w:unhideWhenUsed/>
    <w:rPr>
      <w:rFonts w:cs="Times New Roman"/>
      <w:color w:val="1b86c0"/>
      <w:sz w:val="24"/>
      <w:u w:val="none"/>
    </w:rPr>
  </w:style>
  <w:style w:type="paragraph" w:styleId="839">
    <w:name w:val="footnote text"/>
    <w:basedOn w:val="674"/>
    <w:link w:val="840"/>
    <w:uiPriority w:val="99"/>
    <w:semiHidden/>
    <w:unhideWhenUsed/>
    <w:pPr>
      <w:spacing w:after="40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674"/>
    <w:link w:val="843"/>
    <w:uiPriority w:val="99"/>
    <w:semiHidden/>
    <w:unhideWhenUsed/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674"/>
    <w:next w:val="674"/>
    <w:uiPriority w:val="39"/>
    <w:unhideWhenUsed/>
    <w:pPr>
      <w:ind w:firstLine="0"/>
      <w:spacing w:after="57"/>
    </w:pPr>
  </w:style>
  <w:style w:type="paragraph" w:styleId="846">
    <w:name w:val="toc 2"/>
    <w:basedOn w:val="674"/>
    <w:next w:val="674"/>
    <w:uiPriority w:val="39"/>
    <w:unhideWhenUsed/>
    <w:pPr>
      <w:ind w:left="283" w:firstLine="0"/>
      <w:spacing w:after="57"/>
    </w:pPr>
  </w:style>
  <w:style w:type="paragraph" w:styleId="847">
    <w:name w:val="toc 3"/>
    <w:basedOn w:val="674"/>
    <w:next w:val="674"/>
    <w:uiPriority w:val="39"/>
    <w:unhideWhenUsed/>
    <w:pPr>
      <w:ind w:left="567" w:firstLine="0"/>
      <w:spacing w:after="57"/>
    </w:pPr>
  </w:style>
  <w:style w:type="paragraph" w:styleId="848">
    <w:name w:val="toc 4"/>
    <w:basedOn w:val="674"/>
    <w:next w:val="674"/>
    <w:uiPriority w:val="39"/>
    <w:unhideWhenUsed/>
    <w:pPr>
      <w:ind w:left="850" w:firstLine="0"/>
      <w:spacing w:after="57"/>
    </w:pPr>
  </w:style>
  <w:style w:type="paragraph" w:styleId="849">
    <w:name w:val="toc 5"/>
    <w:basedOn w:val="674"/>
    <w:next w:val="674"/>
    <w:uiPriority w:val="39"/>
    <w:unhideWhenUsed/>
    <w:pPr>
      <w:ind w:left="1134" w:firstLine="0"/>
      <w:spacing w:after="57"/>
    </w:pPr>
  </w:style>
  <w:style w:type="paragraph" w:styleId="850">
    <w:name w:val="toc 6"/>
    <w:basedOn w:val="674"/>
    <w:next w:val="674"/>
    <w:uiPriority w:val="39"/>
    <w:unhideWhenUsed/>
    <w:pPr>
      <w:ind w:left="1417" w:firstLine="0"/>
      <w:spacing w:after="57"/>
    </w:pPr>
  </w:style>
  <w:style w:type="paragraph" w:styleId="851">
    <w:name w:val="toc 7"/>
    <w:basedOn w:val="674"/>
    <w:next w:val="674"/>
    <w:uiPriority w:val="39"/>
    <w:unhideWhenUsed/>
    <w:pPr>
      <w:ind w:left="1701" w:firstLine="0"/>
      <w:spacing w:after="57"/>
    </w:pPr>
  </w:style>
  <w:style w:type="paragraph" w:styleId="852">
    <w:name w:val="toc 8"/>
    <w:basedOn w:val="674"/>
    <w:next w:val="674"/>
    <w:uiPriority w:val="39"/>
    <w:unhideWhenUsed/>
    <w:pPr>
      <w:ind w:left="1984" w:firstLine="0"/>
      <w:spacing w:after="57"/>
    </w:pPr>
  </w:style>
  <w:style w:type="paragraph" w:styleId="853">
    <w:name w:val="toc 9"/>
    <w:basedOn w:val="674"/>
    <w:next w:val="674"/>
    <w:uiPriority w:val="39"/>
    <w:unhideWhenUsed/>
    <w:pPr>
      <w:ind w:left="2268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674"/>
    <w:next w:val="674"/>
    <w:uiPriority w:val="99"/>
    <w:unhideWhenUsed/>
  </w:style>
  <w:style w:type="character" w:styleId="856" w:customStyle="1">
    <w:name w:val="Заголовок 1 Знак"/>
    <w:link w:val="675"/>
    <w:uiPriority w:val="9"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57" w:customStyle="1">
    <w:name w:val="Цветовое выделение"/>
    <w:uiPriority w:val="99"/>
    <w:rPr>
      <w:b/>
      <w:color w:val="26282f"/>
    </w:rPr>
  </w:style>
  <w:style w:type="character" w:styleId="858" w:customStyle="1">
    <w:name w:val="Гипертекстовая ссылка"/>
    <w:uiPriority w:val="99"/>
    <w:rPr>
      <w:rFonts w:cs="Times New Roman"/>
      <w:color w:val="106bbe"/>
    </w:rPr>
  </w:style>
  <w:style w:type="paragraph" w:styleId="859" w:customStyle="1">
    <w:name w:val="Нормальный (таблица)"/>
    <w:basedOn w:val="674"/>
    <w:next w:val="674"/>
    <w:uiPriority w:val="99"/>
    <w:pPr>
      <w:ind w:firstLine="0"/>
    </w:pPr>
  </w:style>
  <w:style w:type="paragraph" w:styleId="860" w:customStyle="1">
    <w:name w:val="Прижатый влево"/>
    <w:basedOn w:val="674"/>
    <w:next w:val="674"/>
    <w:uiPriority w:val="99"/>
    <w:pPr>
      <w:ind w:firstLine="0"/>
      <w:jc w:val="left"/>
    </w:pPr>
  </w:style>
  <w:style w:type="character" w:styleId="861" w:customStyle="1">
    <w:name w:val="Цветовое выделение для Текст"/>
    <w:uiPriority w:val="99"/>
    <w:rPr>
      <w:sz w:val="26"/>
    </w:rPr>
  </w:style>
  <w:style w:type="paragraph" w:styleId="862">
    <w:name w:val="Balloon Text"/>
    <w:basedOn w:val="674"/>
    <w:link w:val="86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3" w:customStyle="1">
    <w:name w:val="Текст выноски Знак"/>
    <w:link w:val="862"/>
    <w:uiPriority w:val="99"/>
    <w:semiHidden/>
    <w:rPr>
      <w:rFonts w:ascii="Segoe UI" w:hAnsi="Segoe UI" w:cs="Segoe UI"/>
      <w:sz w:val="18"/>
      <w:szCs w:val="18"/>
    </w:rPr>
  </w:style>
  <w:style w:type="paragraph" w:styleId="864" w:customStyle="1">
    <w:name w:val="ConsPlusTitle"/>
    <w:uiPriority w:val="99"/>
    <w:pPr>
      <w:widowControl w:val="off"/>
    </w:pPr>
    <w:rPr>
      <w:rFonts w:cs="Calibri"/>
      <w:b/>
      <w:bCs/>
      <w:sz w:val="22"/>
      <w:szCs w:val="22"/>
      <w:lang w:eastAsia="ru-RU"/>
    </w:rPr>
  </w:style>
  <w:style w:type="paragraph" w:styleId="865" w:customStyle="1">
    <w:name w:val="Обычный1"/>
    <w:rPr>
      <w:rFonts w:ascii="Times New Roman" w:hAnsi="Times New Roman"/>
      <w:sz w:val="22"/>
      <w:lang w:eastAsia="ru-RU"/>
    </w:rPr>
  </w:style>
  <w:style w:type="paragraph" w:styleId="86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gazprom@gazpro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НПП "Гарант-Сервис"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n.pochikaylova@tgk.gazprom.ru</cp:lastModifiedBy>
  <cp:revision>7</cp:revision>
  <dcterms:created xsi:type="dcterms:W3CDTF">2025-07-15T08:43:00Z</dcterms:created>
  <dcterms:modified xsi:type="dcterms:W3CDTF">2026-02-12T17:44:22Z</dcterms:modified>
  <cp:version>1048576</cp:version>
</cp:coreProperties>
</file>